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rPr>
          <w:rFonts w:hint="eastAsia" w:ascii="仿宋" w:hAnsi="仿宋" w:eastAsia="仿宋" w:cs="仿宋"/>
        </w:rPr>
      </w:pPr>
      <w:bookmarkStart w:id="0" w:name="_Toc3751"/>
      <w:r>
        <w:rPr>
          <w:rFonts w:hint="eastAsia"/>
          <w:lang w:val="en-US" w:eastAsia="zh-CN"/>
        </w:rPr>
        <w:t>附件一：医疗电子票据前置服务平台管理系统功能</w:t>
      </w:r>
      <w:r>
        <w:rPr>
          <w:rFonts w:hint="eastAsia"/>
        </w:rPr>
        <w:t>清单</w:t>
      </w:r>
      <w:bookmarkEnd w:id="0"/>
    </w:p>
    <w:tbl>
      <w:tblPr>
        <w:tblStyle w:val="7"/>
        <w:tblW w:w="51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139"/>
        <w:gridCol w:w="1447"/>
        <w:gridCol w:w="5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shd w:val="clear" w:color="auto" w:fill="91ABDF" w:themeFill="accent1" w:themeFillTint="99"/>
            <w:vAlign w:val="center"/>
          </w:tcPr>
          <w:p>
            <w:pPr>
              <w:widowControl/>
              <w:ind w:firstLine="0" w:firstLineChars="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647" w:type="pct"/>
            <w:shd w:val="clear" w:color="auto" w:fill="91ABDF" w:themeFill="accent1" w:themeFillTint="99"/>
            <w:vAlign w:val="center"/>
          </w:tcPr>
          <w:p>
            <w:pPr>
              <w:widowControl/>
              <w:ind w:firstLine="0" w:firstLineChars="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功能模块</w:t>
            </w:r>
          </w:p>
        </w:tc>
        <w:tc>
          <w:tcPr>
            <w:tcW w:w="4061" w:type="pct"/>
            <w:gridSpan w:val="2"/>
            <w:shd w:val="clear" w:color="auto" w:fill="91ABDF" w:themeFill="accent1" w:themeFillTint="99"/>
            <w:vAlign w:val="center"/>
          </w:tcPr>
          <w:p>
            <w:pPr>
              <w:widowControl/>
              <w:ind w:firstLine="0" w:firstLineChars="0"/>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功能及技术参数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647"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基础信息</w:t>
            </w: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单位管理</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通过单位管理可以创建领票单位和用票单位。维护单位时支持修改操作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票据信息查询</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单位对可用票据种类进行查询(从非税中台同步)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收入项目查询</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医院业务系统中的项目通过项目维护功能手工录入到医疗电子票据系统，维护的目的是供基础数据对照时与财政项目做对照使用。维护项目信息时支持新增、查看、修改、删除功能(一个明细项目只可挂接到一个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开票点管理</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sz w:val="24"/>
                <w:szCs w:val="24"/>
              </w:rPr>
              <w:t>通过开票点管理可以创建医院开票点。新建开票点时，要给该开票点配置可用项目、可用票据等。开票点负责开票、打印、作废票号等。维护开票点时支持新建、修改、删除操作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开票员管理</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通过开票员管理可以创建医疗开票点开票员，开票员负责开票、打印、冲红票据等。维护开票员时支持新建、修改、删除操作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印章维护</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单位通过电子印章维护挂接电子印章信息，通过挂接的电子印章信息进行票据开具验证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项目信息查询</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单位对可用项目的基础数据进行查询(从非税中台同步)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vAlign w:val="center"/>
          </w:tcPr>
          <w:p>
            <w:pPr>
              <w:widowControl/>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647" w:type="pct"/>
            <w:vMerge w:val="restart"/>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票据管理</w:t>
            </w: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年度用票计划申领</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医院向财政部门发起用票申请，由票据管理人员在线填写票据年度用票计划信息(申请下一年的用票总数)，并提交给财政，财政接收到申领信息，经审批后，并下发票号信息，医院进行入库确认(一年只可申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年中补充用申领</w:t>
            </w:r>
          </w:p>
        </w:tc>
        <w:tc>
          <w:tcPr>
            <w:tcW w:w="3238"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sz w:val="24"/>
                <w:szCs w:val="24"/>
              </w:rPr>
              <w:t>医院向财政部门发起用票申请，由票据管理人员在线填写票据年中用票计划信息，并提交给财政，财政接收到申领信息，经审批后，并下发票号信息，医院进行入库确认(一年只可申报多次)。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647" w:type="pct"/>
            <w:vMerge w:val="restart"/>
            <w:shd w:val="clear" w:color="auto" w:fill="auto"/>
            <w:vAlign w:val="center"/>
          </w:tcPr>
          <w:p>
            <w:pPr>
              <w:widowControl/>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开票管理</w:t>
            </w: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签名对接</w:t>
            </w:r>
          </w:p>
        </w:tc>
        <w:tc>
          <w:tcPr>
            <w:tcW w:w="3238"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与签名服务器(国密)对接，完成电子票据的单位签名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sz w:val="24"/>
                <w:szCs w:val="24"/>
              </w:rPr>
            </w:pPr>
            <w:r>
              <w:rPr>
                <w:rFonts w:hint="eastAsia" w:ascii="仿宋" w:hAnsi="仿宋" w:eastAsia="仿宋" w:cs="仿宋"/>
                <w:sz w:val="24"/>
                <w:szCs w:val="24"/>
              </w:rPr>
              <w:t>门诊票据</w:t>
            </w:r>
            <w:r>
              <w:rPr>
                <w:rFonts w:hint="eastAsia" w:ascii="仿宋" w:hAnsi="仿宋" w:eastAsia="仿宋" w:cs="仿宋"/>
                <w:color w:val="000000"/>
                <w:kern w:val="0"/>
                <w:sz w:val="24"/>
                <w:szCs w:val="24"/>
              </w:rPr>
              <w:t>开具</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医院业务系统与医疗电子票据管理系统进行对接，通过接口将医院门诊收费信息发送给医疗电子票据前统，进行门诊收费电子票据开具。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住院票据开具</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sz w:val="24"/>
                <w:szCs w:val="24"/>
              </w:rPr>
              <w:t>医院业务系统与医疗电子票据管理系统进行对接，通过接口将医院住院收费信息发送给医疗电子票据系统，进行住院收费电子票据开具。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票据冲红</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医院业务系统与医疗电子票据管理系统进行对接，通过接口将医院冲红信息发送给医疗电子票据管理系统，对相关电子票据进行冲红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4</w:t>
            </w:r>
          </w:p>
        </w:tc>
        <w:tc>
          <w:tcPr>
            <w:tcW w:w="647" w:type="pct"/>
            <w:vMerge w:val="restar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票据入账、归档</w:t>
            </w:r>
          </w:p>
        </w:tc>
        <w:tc>
          <w:tcPr>
            <w:tcW w:w="822" w:type="pct"/>
            <w:shd w:val="clear" w:color="auto" w:fill="auto"/>
            <w:vAlign w:val="center"/>
          </w:tcPr>
          <w:p>
            <w:pPr>
              <w:spacing w:after="120"/>
              <w:ind w:firstLine="0" w:firstLineChars="0"/>
              <w:jc w:val="left"/>
              <w:rPr>
                <w:rFonts w:hint="eastAsia" w:ascii="仿宋" w:hAnsi="仿宋" w:eastAsia="仿宋" w:cs="仿宋"/>
                <w:sz w:val="24"/>
                <w:szCs w:val="24"/>
              </w:rPr>
            </w:pPr>
            <w:r>
              <w:rPr>
                <w:rFonts w:hint="eastAsia" w:ascii="仿宋" w:hAnsi="仿宋" w:eastAsia="仿宋" w:cs="仿宋"/>
                <w:sz w:val="24"/>
                <w:szCs w:val="24"/>
              </w:rPr>
              <w:t>电子票据接收</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单位通过此功能接收待入帐电子票据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sz w:val="24"/>
                <w:szCs w:val="24"/>
              </w:rPr>
            </w:pPr>
            <w:r>
              <w:rPr>
                <w:rFonts w:hint="eastAsia" w:ascii="仿宋" w:hAnsi="仿宋" w:eastAsia="仿宋" w:cs="仿宋"/>
                <w:sz w:val="24"/>
                <w:szCs w:val="24"/>
              </w:rPr>
              <w:t>票据记账登记</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单位通过此功能对待入账票据进行单笔入账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汇总记账登记</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单位通过此功能对待入账票据进行汇总入账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档案维护</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单位通过此功能维护档案信息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分类管理</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单位通过此功能管理档案的分类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归档</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单位通过此功能对已入账的票据进行手工归档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shd w:val="clear" w:color="auto" w:fill="auto"/>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shd w:val="clear" w:color="auto" w:fill="auto"/>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spacing w:after="120"/>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档案查询</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color w:val="000000"/>
                <w:kern w:val="0"/>
                <w:sz w:val="24"/>
                <w:szCs w:val="24"/>
              </w:rPr>
              <w:t>单位通过此功能查询已归档票据的详细信息。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5</w:t>
            </w:r>
          </w:p>
        </w:tc>
        <w:tc>
          <w:tcPr>
            <w:tcW w:w="647" w:type="pct"/>
            <w:vMerge w:val="restar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统计报表</w:t>
            </w: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库存结余表</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对票据领用及使用情况做分析，统计已使用、未使用票据情况，算出单位现有票据的库存结余。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票据领用情况查询</w:t>
            </w:r>
          </w:p>
        </w:tc>
        <w:tc>
          <w:tcPr>
            <w:tcW w:w="3238" w:type="pct"/>
            <w:shd w:val="clear" w:color="auto" w:fill="auto"/>
            <w:vAlign w:val="center"/>
          </w:tcPr>
          <w:p>
            <w:pPr>
              <w:spacing w:after="120"/>
              <w:ind w:firstLine="0" w:firstLineChars="0"/>
              <w:rPr>
                <w:rFonts w:hint="eastAsia" w:ascii="仿宋" w:hAnsi="仿宋" w:eastAsia="仿宋" w:cs="仿宋"/>
                <w:sz w:val="24"/>
                <w:szCs w:val="24"/>
              </w:rPr>
            </w:pPr>
            <w:r>
              <w:rPr>
                <w:rFonts w:hint="eastAsia" w:ascii="仿宋" w:hAnsi="仿宋" w:eastAsia="仿宋" w:cs="仿宋"/>
                <w:color w:val="000000"/>
                <w:kern w:val="0"/>
                <w:sz w:val="24"/>
                <w:szCs w:val="24"/>
              </w:rPr>
              <w:t>查看单位票据领用情况。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开票明细查询</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通过列表展示单位开具的开票数据，查看开票数据的详细信息，包括票据基本信息、所开具的项目等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开票汇总查询</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汇总单位开票信息，包括开票信息和收费情况。</w:t>
            </w:r>
          </w:p>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该报表按照收费员、业务类别统计汇总各票据种类收费情况（按照缴款渠道分别统计）和开票数量（开票份数和冲红份数）；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w:t>
            </w:r>
          </w:p>
        </w:tc>
        <w:tc>
          <w:tcPr>
            <w:tcW w:w="647" w:type="pct"/>
            <w:vMerge w:val="restart"/>
            <w:shd w:val="clear" w:color="auto" w:fill="auto"/>
            <w:vAlign w:val="center"/>
          </w:tcPr>
          <w:p>
            <w:pPr>
              <w:widowControl/>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系统管理</w:t>
            </w: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用户管理</w:t>
            </w:r>
          </w:p>
        </w:tc>
        <w:tc>
          <w:tcPr>
            <w:tcW w:w="3238" w:type="pct"/>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医疗单位可根据单位实际业务情况，创建本单位的用户信息，对单位及单位下的开票点用户进行新增、修改等操作。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角色管理</w:t>
            </w:r>
          </w:p>
        </w:tc>
        <w:tc>
          <w:tcPr>
            <w:tcW w:w="3238" w:type="pct"/>
            <w:shd w:val="clear" w:color="auto" w:fill="auto"/>
            <w:vAlign w:val="center"/>
          </w:tcPr>
          <w:p>
            <w:pPr>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为满足医疗机构实际业务中，多岗位多角色办理的情况，可在角色管理中按照不同的功能菜单分别创建对应的办理角色，且可对已创建的角色的进行功能授权。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vMerge w:val="continue"/>
            <w:vAlign w:val="center"/>
          </w:tcPr>
          <w:p>
            <w:pPr>
              <w:widowControl/>
              <w:ind w:firstLine="0" w:firstLineChars="0"/>
              <w:jc w:val="center"/>
              <w:rPr>
                <w:rFonts w:hint="eastAsia" w:ascii="仿宋" w:hAnsi="仿宋" w:eastAsia="仿宋" w:cs="仿宋"/>
                <w:color w:val="000000"/>
                <w:kern w:val="0"/>
                <w:sz w:val="24"/>
                <w:szCs w:val="24"/>
              </w:rPr>
            </w:pPr>
          </w:p>
        </w:tc>
        <w:tc>
          <w:tcPr>
            <w:tcW w:w="647" w:type="pct"/>
            <w:vMerge w:val="continue"/>
            <w:vAlign w:val="center"/>
          </w:tcPr>
          <w:p>
            <w:pPr>
              <w:widowControl/>
              <w:ind w:firstLine="0" w:firstLineChars="0"/>
              <w:jc w:val="left"/>
              <w:rPr>
                <w:rFonts w:hint="eastAsia" w:ascii="仿宋" w:hAnsi="仿宋" w:eastAsia="仿宋" w:cs="仿宋"/>
                <w:color w:val="000000"/>
                <w:kern w:val="0"/>
                <w:sz w:val="24"/>
                <w:szCs w:val="24"/>
              </w:rPr>
            </w:pPr>
          </w:p>
        </w:tc>
        <w:tc>
          <w:tcPr>
            <w:tcW w:w="822"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菜单管理</w:t>
            </w:r>
          </w:p>
        </w:tc>
        <w:tc>
          <w:tcPr>
            <w:tcW w:w="3238"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按照用户、角色、机构的不同，可根据单位的实际需求进行授权设置对应的菜单权限。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0" w:type="pct"/>
            <w:shd w:val="clear" w:color="auto" w:fill="auto"/>
            <w:vAlign w:val="center"/>
          </w:tcPr>
          <w:p>
            <w:pPr>
              <w:widowControl/>
              <w:ind w:firstLine="0" w:firstLineChar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7</w:t>
            </w:r>
          </w:p>
        </w:tc>
        <w:tc>
          <w:tcPr>
            <w:tcW w:w="647" w:type="pct"/>
            <w:shd w:val="clear" w:color="auto" w:fill="auto"/>
            <w:vAlign w:val="center"/>
          </w:tcPr>
          <w:p>
            <w:pPr>
              <w:widowControl/>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财政</w:t>
            </w:r>
            <w:r>
              <w:rPr>
                <w:rFonts w:hint="eastAsia" w:ascii="仿宋" w:hAnsi="仿宋" w:eastAsia="仿宋" w:cs="仿宋"/>
                <w:color w:val="000000"/>
                <w:kern w:val="0"/>
                <w:sz w:val="24"/>
                <w:szCs w:val="24"/>
                <w:lang w:val="en-US" w:eastAsia="zh-CN"/>
              </w:rPr>
              <w:t>电子票据管理中台</w:t>
            </w:r>
            <w:r>
              <w:rPr>
                <w:rFonts w:hint="eastAsia" w:ascii="仿宋" w:hAnsi="仿宋" w:eastAsia="仿宋" w:cs="仿宋"/>
                <w:color w:val="000000"/>
                <w:kern w:val="0"/>
                <w:sz w:val="24"/>
                <w:szCs w:val="24"/>
              </w:rPr>
              <w:t>对接</w:t>
            </w:r>
          </w:p>
        </w:tc>
        <w:tc>
          <w:tcPr>
            <w:tcW w:w="4061" w:type="pct"/>
            <w:gridSpan w:val="2"/>
            <w:shd w:val="clear" w:color="auto" w:fill="auto"/>
            <w:vAlign w:val="center"/>
          </w:tcPr>
          <w:p>
            <w:pPr>
              <w:spacing w:after="120"/>
              <w:ind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与财政电子票据管理中台对接，完成基础数据同步、电子票据的申领、票据开具、冲红、验签、票据下载、查询、入账反馈等功能服务。</w:t>
            </w:r>
          </w:p>
        </w:tc>
      </w:tr>
    </w:tbl>
    <w:p>
      <w:pPr>
        <w:sectPr>
          <w:pgSz w:w="11906" w:h="16838"/>
          <w:pgMar w:top="1440" w:right="1800" w:bottom="1440" w:left="1800" w:header="851" w:footer="992" w:gutter="0"/>
          <w:cols w:space="720" w:num="1"/>
          <w:docGrid w:type="lines" w:linePitch="312" w:charSpace="0"/>
        </w:sectPr>
      </w:pPr>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FCCC6B"/>
    <w:multiLevelType w:val="multilevel"/>
    <w:tmpl w:val="47FCCC6B"/>
    <w:lvl w:ilvl="0" w:tentative="0">
      <w:start w:val="1"/>
      <w:numFmt w:val="decimal"/>
      <w:pStyle w:val="2"/>
      <w:lvlText w:val="%1."/>
      <w:lvlJc w:val="left"/>
      <w:pPr>
        <w:ind w:left="852" w:hanging="432"/>
      </w:pPr>
      <w:rPr>
        <w:rFonts w:hint="default"/>
      </w:rPr>
    </w:lvl>
    <w:lvl w:ilvl="1" w:tentative="0">
      <w:start w:val="1"/>
      <w:numFmt w:val="decimal"/>
      <w:isLg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ZDg0YWJmMDZlNjM1ZThkNzA2ZmIzODYzMWQ5YWQifQ=="/>
  </w:docVars>
  <w:rsids>
    <w:rsidRoot w:val="00000000"/>
    <w:rsid w:val="05F47B5E"/>
    <w:rsid w:val="3E805BB5"/>
    <w:rsid w:val="6E465678"/>
    <w:rsid w:val="7E8E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Lines/>
      <w:numPr>
        <w:ilvl w:val="0"/>
        <w:numId w:val="1"/>
      </w:numPr>
      <w:spacing w:before="300" w:after="300"/>
      <w:ind w:left="431" w:hanging="431" w:firstLineChars="0"/>
      <w:jc w:val="left"/>
      <w:outlineLvl w:val="0"/>
    </w:pPr>
    <w:rPr>
      <w:rFonts w:eastAsia="仿宋"/>
      <w:b/>
      <w:kern w:val="44"/>
      <w:sz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99"/>
  </w:style>
  <w:style w:type="paragraph" w:styleId="4">
    <w:name w:val="Body Text Indent"/>
    <w:basedOn w:val="1"/>
    <w:autoRedefine/>
    <w:unhideWhenUsed/>
    <w:qFormat/>
    <w:uiPriority w:val="99"/>
    <w:pPr>
      <w:spacing w:line="360" w:lineRule="auto"/>
      <w:ind w:left="420"/>
    </w:pPr>
    <w:rPr>
      <w:color w:val="000000"/>
      <w:kern w:val="2"/>
      <w:sz w:val="28"/>
    </w:rPr>
  </w:style>
  <w:style w:type="paragraph" w:styleId="5">
    <w:name w:val="Plain Text"/>
    <w:basedOn w:val="1"/>
    <w:autoRedefine/>
    <w:unhideWhenUsed/>
    <w:qFormat/>
    <w:uiPriority w:val="0"/>
    <w:rPr>
      <w:rFonts w:ascii="宋体" w:hAnsi="Courier New" w:cs="Courier New"/>
      <w:szCs w:val="21"/>
    </w:rPr>
  </w:style>
  <w:style w:type="paragraph" w:styleId="6">
    <w:name w:val="Body Text First Indent 2"/>
    <w:basedOn w:val="4"/>
    <w:autoRedefine/>
    <w:unhideWhenUsed/>
    <w:qFormat/>
    <w:uiPriority w:val="99"/>
    <w:pPr>
      <w:spacing w:after="120" w:line="240" w:lineRule="auto"/>
      <w:ind w:left="200" w:leftChars="200" w:firstLine="420" w:firstLineChars="200"/>
    </w:pPr>
    <w:rPr>
      <w:rFonts w:ascii="Times New Roman" w:hAnsi="Times New Roman"/>
      <w:color w:val="auto"/>
      <w:sz w:val="21"/>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表段落1"/>
    <w:basedOn w:val="1"/>
    <w:autoRedefine/>
    <w:qFormat/>
    <w:uiPriority w:val="34"/>
    <w:pPr>
      <w:ind w:firstLine="420" w:firstLineChars="200"/>
    </w:pPr>
  </w:style>
  <w:style w:type="paragraph" w:styleId="11">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2024-03-15T01:21:00Z</dcterms:created>
  <dc:creator>Administrator</dc:creator>
  <cp:lastModifiedBy>Ulalalalalala</cp:lastModifiedBy>
  <dcterms:modified xsi:type="dcterms:W3CDTF">2024-03-15T07:55:51Z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E3562AD4D1B246FFA90607BF1972C348_13</vt:lpwstr>
  </property>
</Properties>
</file>